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ПРОМЫШЛЕННОСТИ И ТОРГОВЛИ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по контролю в сфере закупок товаров, работ, услуг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государственных нужд Удмуртской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торгово-закупочной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(уполномоченный орган на основании постановления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Удмуртской Республики от 22.12.2014 № 550)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Красная, 144, Ижевск, 426008, Тел.: (3412) 222-694 доб. 522, 52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плановой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проверки № 05-2-08/2024-07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бюджетного учреждения здравоохранения Удмуртской Республики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«Удмуртский Республиканский центр по профилактике и борьбе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r>
    </w:p>
    <w:p>
      <w:pPr>
        <w:ind w:firstLine="180"/>
        <w:jc w:val="center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со СПИДом и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инфекционными заболеваниями»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r>
    </w:p>
    <w:tbl>
      <w:tblPr>
        <w:tblW w:w="10387" w:type="dxa"/>
        <w:tblInd w:w="-106" w:type="dxa"/>
        <w:tblLook w:val="01E0" w:firstRow="1" w:lastRow="1" w:firstColumn="1" w:lastColumn="1" w:noHBand="0" w:noVBand="0"/>
      </w:tblPr>
      <w:tblGrid>
        <w:gridCol w:w="3475"/>
        <w:gridCol w:w="6912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75" w:type="dxa"/>
            <w:textDirection w:val="lrTb"/>
            <w:noWrap w:val="false"/>
          </w:tcPr>
          <w:p>
            <w:pPr>
              <w:ind w:firstLine="106"/>
              <w:jc w:val="both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r>
          </w:p>
          <w:p>
            <w:pPr>
              <w:ind w:firstLine="106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02.05.202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912" w:type="dxa"/>
            <w:textDirection w:val="lrTb"/>
            <w:noWrap w:val="false"/>
          </w:tcPr>
          <w:p>
            <w:pPr>
              <w:ind w:left="1436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r>
          </w:p>
          <w:p>
            <w:pPr>
              <w:ind w:left="2160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торговли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ind w:left="2160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Удмуртской Республики,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ind w:left="2160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г. Ижевск,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ind w:left="2160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ул. Красная, 144, кабинет 415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ind w:left="21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(место составления)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tbl>
      <w:tblPr>
        <w:tblW w:w="10137" w:type="dxa"/>
        <w:tblInd w:w="-106" w:type="dxa"/>
        <w:tblLook w:val="01E0" w:firstRow="1" w:lastRow="1" w:firstColumn="1" w:lastColumn="1" w:noHBand="0" w:noVBand="0"/>
      </w:tblPr>
      <w:tblGrid>
        <w:gridCol w:w="3348"/>
        <w:gridCol w:w="678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4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89" w:type="dxa"/>
            <w:textDirection w:val="lrTb"/>
            <w:noWrap w:val="false"/>
          </w:tcPr>
          <w:p>
            <w:pPr>
              <w:contextualSpacing/>
              <w:ind w:firstLine="709"/>
              <w:jc w:val="both"/>
              <w:spacing w:after="0" w:line="240" w:lineRule="auto"/>
              <w:shd w:val="clear" w:color="auto" w:fill="ffffff"/>
              <w:tabs>
                <w:tab w:val="left" w:pos="8635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99 Федерального закона от 05.04.2013 № 44-ФЗ «О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постановления Правительства Российской Федерации от 01.10.2020 № 1576 «Об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плановых и внеплановых проверок, принятых по ним решений и выданных предписаний, представлений»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Министерства промышленности и торговли Удмуртской Республики (далее – Министерство) от 18.03.2024 № 28 «О проведении плановой проверки бюджетного учр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еждения здравоохранения Удмуртской Республики «Удмуртский Республиканский центр по профилактике и борьбе со СПИДом и инфекционными заболеваниями»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инспекцией в составе должностных лиц Министерства: &lt;...&gt; – начальника Управления торгово-закупочной 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еятельности  Министерства (далее – Управление),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sz w:val="24"/>
          <w:szCs w:val="24"/>
          <w:lang w:eastAsia="ru-RU"/>
        </w:rPr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главного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государственного инспектора отдела, проведено плановое контрольное мероприятие в части соблюдения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бюджетным учреждением здравоохранения Удмуртской Республики «Удмуртский Республиканский центр по профилактике и борьбе со СПИДом и инфекционными заболеваниям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БУЗ УР «УРЦ СПИД и ИЗ»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Заказчик, Субъект проверки) требований Федерального закона № 44-ФЗ при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осуществлении закупок товаров, работ, услуг в период с 01.04.2021 по 31.03.2024, а также закупок, находящихся на стадии осуществления и по которым на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момент начала проверки не заключены контракты.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Начало проведения плановой проверки: 01.04.2024.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проведения плановой проверки: 26.04.2024.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для проверки: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план проведения проверок на 2024 год, утвержденный приказом Министерства от 22.12.2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023 № 128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размещенный на официальном сайте Министерства в информационно-коммуникационной сети «Интернет» и в единой информационной системе в сфере закупок (далее – ЕИС).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Местонахождение </w:t>
      </w:r>
      <w:r>
        <w:rPr>
          <w:rFonts w:ascii="Times New Roman" w:hAnsi="Times New Roman" w:cs="Times New Roman"/>
          <w:sz w:val="24"/>
          <w:szCs w:val="24"/>
        </w:rPr>
        <w:t xml:space="preserve">БУЗ УР «УРЦ СПИД и ИЗ»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426067, Удмуртская Республика, г.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Ижевск, ул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Труда, 17а.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установить соблюдение субъектом проверки требований Федерального закона № 44-ФЗ при осуществлении закупок товаров, работ, услуг в период с 01.04.2021 по 31.03.2024, а также закупок, находящихся на стадии осуществления и по кото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рым на момент начала проверки не заключены контракты.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 Приказ Министерства здравоохранения Удм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уртской Республики от 28.09.2011 № 235-к «О назначении на должность главного врача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БУЗ УР «УРЦ СПИД и ИЗ».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 Соглашение от 26.09.2022 к трудовому договору от 29.09.2021 № 5421 между Министерством здравоохранения Удмуртской Республики и Горбуновым О.Б.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Соглашение от 20.09.2023 к трудовому договору от 29.09.2021 № 5421 между Министерством здравоохранения Удмуртской Республики и Горбуновым О.Б.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 Приказ БУЗ УР «УРЦ СПИД и ИЗ» от 20.03.2024 № 138 «О назначении ответственного должностного лица».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</w:t>
      </w:r>
      <w:r>
        <w:t xml:space="preserve"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 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УЗ УР «УРЦ СПИД и ИЗ» от 11.03.2019 № 113 «О назначении ответственных лиц при электронном документообороте».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 Приказ БУЗ УР «УРЦ СПИД и ИЗ» от 31.12.2013 № 246 «О назначении контрактного управляющего».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 Документы о повышении квалификации, о высшем обра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зовании должностных лиц Заказчика.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 Реестры закупок Заказчика.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 Извещения и документации (при наличии) по нижеперечисленным закупкам, план-график, заявка участников,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также государственные контракты, заключенные по результатам их проведения, и документы, подтверждающие обеспечение исполнения контрактов: 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перчатки медицинские (извещение от 08.02.2024 № 0813500000124001165); 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поставка изделий медицинского назначения (и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звещение от 22.05.2023 № 0813500000123007650);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услуги по созданию информационно-пропагандистских материалов: спрей-санитайзер для рук с логотипом Заказчика (извещение от 30.05.2023 № 0813500000123008302);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слуги по созданию информационно-пропагандистских материалов: ручки с логотипом Заказчика, используемые при проведении мероприятий (акций), проводимых Заказчиком (извещение от 30.05.2023 № 0813500000123008322);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услуг по организации и проведению мер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оприятия «Пройди тест на ВИЧ» в рамках проведения фестиваля «Улетай-2023» (извещение от 13.06.2023 № 0813500000123009165);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халат процедурный, одноразового использования (извещение от 06.07.2023 № 0813500000123010524);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оказание услуг по организации лечебног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питания пациентов и лиц сопровождающих пациентов (извещение от 22.11.2023 № 0813500000123019817);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материалы нетканые и изделия из них (кроме одежды) (салфетка)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(извещение от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28.11.2023 № 0813500000123020220);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расходные материалы (скарификатор, ланцет, шп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атель)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(извещение от 05.12.2023 № 0813500000123021073);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пакет для сбора, хранения и транспортировки медицинских отходов (извещение от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07.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12.2023 № 0813500000123021372).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10.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Извещения по закупкам, находящимся на стадии проведения и по которым на момент нача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ла проведения первого этапа государственные контракты не заключены: 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URW Bookman" w:hAnsi="URW Bookman" w:eastAsia="URW Bookman" w:cs="URW Book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поставка лекарственного средства ИНОЗИН+МЕГЛЮМИН+  МЕТИОНИН+НИКОТИНАМИД+ЯНТАРНАЯ КИСЛОТА (извещение от 09.04.2024 </w:t>
      </w:r>
      <w:hyperlink r:id="rId10" w:tooltip="https://zakupki.gov.ru/epz/order/notice/ea20/view/common-info.html?regNumber=0813500000124005079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 0813500000124005079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изделия медицинского назначения </w:t>
      </w:r>
      <w:hyperlink r:id="rId11" w:tooltip="https://zakupki.gov.ru/epz/order/notice/ea20/view/common-info.html?regNumber=0813500000124005243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(извещение от 10.04.2024 </w:t>
        </w:r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  <w:u w:val="none"/>
          </w:rPr>
          <w:t xml:space="preserve">№ 0813500000124005</w:t>
        </w:r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highlight w:val="white"/>
            <w:u w:val="none"/>
          </w:rPr>
          <w:t xml:space="preserve">243</w:t>
        </w:r>
      </w:hyperlink>
      <w:r>
        <w:rPr>
          <w:rFonts w:ascii="Times New Roman" w:hAnsi="Times New Roman" w:eastAsia="Times New Roman" w:cs="Times New Roman"/>
        </w:rPr>
        <w:t xml:space="preserve">);</w:t>
      </w:r>
      <w:r>
        <w:rPr>
          <w:rFonts w:ascii="Times New Roman" w:hAnsi="Times New Roman" w:cs="Times New Roma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халат процедурный, одноразового использования (извещение от 09.04.2024 </w:t>
      </w:r>
      <w:hyperlink r:id="rId12" w:tooltip="https://zakupki.gov.ru/epz/order/notice/ea20/view/common-info.html?regNumber=0813500000124005154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 0813500000124005154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набор первой медицинской помощи, содержащий лекарственные средства (извещение от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10.04.2024 </w:t>
      </w:r>
      <w:hyperlink r:id="rId13" w:tooltip="https://zakupki.gov.ru/epz/order/notice/ea20/view/common-info.html?regNumber=0813500000124005253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0813500000124005253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шприц общего назначения (извещение от 10.04.2024 </w:t>
      </w:r>
      <w:hyperlink r:id="rId14" w:tooltip="https://zakupki.gov.ru/epz/order/notice/ea20/view/common-info.html?regNumber=0813500000124005269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0813500000124005269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респиратор общего применения, одноразового использования (извещение от 09.04.2024 </w:t>
      </w:r>
      <w:hyperlink r:id="rId15" w:tooltip="https://zakupki.gov.ru/epz/order/notice/ea20/view/common-info.html?regNumber=0813500000124005148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0813500000124005148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шапочка хирургическая, о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дноразового использования, нестерильная (извещение от 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09.04.2024 </w:t>
      </w:r>
      <w:hyperlink r:id="rId16" w:tooltip="https://zakupki.gov.ru/epz/order/notice/ea20/view/common-info.html?regNumber=081350000012400515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0813500000124005155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поставка лекарственного средства АДЕМЕТИОНИН (извещение от 09.04.2024 </w:t>
      </w:r>
      <w:hyperlink r:id="rId17" w:tooltip="https://zakupki.gov.ru/epz/order/notice/ea20/view/common-info.html?regNumber=0813500000124005110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 0813500000124005110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поставка лекарствен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ного средства ЦЕФТРИАКСОН (извещение от 09.04.2024 </w:t>
      </w:r>
      <w:hyperlink r:id="rId18" w:tooltip="https://zakupki.gov.ru/epz/order/notice/ea20/view/common-info.html?regNumber=0813500000124005105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 0813500000124005105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поставка лекарственного средства КЛАРИТРОМИЦИН (извещение от 10.04.2024 </w:t>
      </w:r>
      <w:hyperlink r:id="rId19" w:tooltip="https://zakupki.gov.ru/epz/order/notice/ea20/view/common-info.html?regNumber=0813500000124005188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0813500000124005188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наборы реагентов (извещение от 10.04.2024 </w:t>
      </w:r>
      <w:hyperlink r:id="rId20" w:tooltip="https://zakupki.gov.ru/epz/order/notice/ea20/view/common-info.html?regNumber=0813500000124005278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0813500000124005278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jc w:val="both"/>
        <w:spacing w:after="0" w:line="300" w:lineRule="atLeast"/>
        <w:rPr>
          <w:rFonts w:ascii="Times New Roman" w:hAnsi="Times New Roman" w:cs="Times New Roman"/>
          <w:color w:val="000000" w:themeColor="text1"/>
          <w:sz w:val="24"/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поставка дезинфицирующих средств (извещение от 10.04.2024 </w:t>
      </w:r>
      <w:hyperlink r:id="rId21" w:tooltip="https://zakupki.gov.ru/epz/order/notice/ea20/view/common-info.html?regNumber=0813500000124005057" w:history="1">
        <w:r>
          <w:rPr>
            <w:rStyle w:val="891"/>
            <w:rFonts w:ascii="Times New Roman" w:hAnsi="Times New Roman" w:eastAsia="Times New Roman" w:cs="Times New Roman"/>
            <w:color w:val="000000" w:themeColor="text1"/>
            <w:sz w:val="24"/>
            <w:szCs w:val="24"/>
            <w:u w:val="none"/>
          </w:rPr>
          <w:t xml:space="preserve">№ 0813500000124005057</w:t>
        </w:r>
      </w:hyperlink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  <w:t xml:space="preserve">).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77 контрактов, заключенных Заказчиком на основании пункта 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части 1 статьи 93 Федерального закона № 44-ФЗ.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Проверка проводилась по следующим направлениям: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numPr>
          <w:ilvl w:val="3"/>
          <w:numId w:val="7"/>
        </w:numPr>
        <w:contextualSpacing/>
        <w:ind w:left="0" w:firstLine="709"/>
        <w:jc w:val="both"/>
        <w:spacing w:after="0" w:line="240" w:lineRule="auto"/>
        <w:tabs>
          <w:tab w:val="left" w:pos="284" w:leader="none"/>
          <w:tab w:val="left" w:pos="709" w:leader="none"/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 услуг.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numPr>
          <w:ilvl w:val="3"/>
          <w:numId w:val="3"/>
        </w:numPr>
        <w:contextualSpacing/>
        <w:ind w:left="0" w:firstLine="709"/>
        <w:jc w:val="both"/>
        <w:spacing w:after="0" w:line="240" w:lineRule="auto"/>
        <w:tabs>
          <w:tab w:val="left" w:pos="284" w:leader="none"/>
          <w:tab w:val="left" w:pos="709" w:leader="none"/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Осуществление Заказчиком закупок конкурентным способом, закупок у единственного поставщика (исполнителя, подрядчика) в проверяемом периоде, в том числе своевременность и достоверность представления информации о заключении, изменении, исполнении государстве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нных контрактов в реестр контрактов, заключенных заказчиками.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услуг.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Приказом Министерства здравоохранения Удмуртской Республики от 28.09.2011 № 235-к «О назначении на должность главн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ого врача БУЗ УР «УРЦ СПИД и ИЗ»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назначен главным врачом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</w:rPr>
        <w:t xml:space="preserve">БУЗ УР «УРЦ СПИД и ИЗ»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Контрактным управляющим в БУЗ УР «УРЦ СПИД и ИЗ» назначена начальник отдела государственных закупок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Приказом БУЗ УР «УРЦ СПИД 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ИЗ» от 20.03.2024 № 138 ответственным должностным лицом за проведение настоящей плановой проверки назначена начальник отдела государственных закупок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исполнение части 6 статьи 38 Федерального закона № 44-ФЗ часть сотрудников 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онтрактной службы прошли обучение по повышению квалификации в сфере закупок.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Запрашиваемые Министерством документы, необходимые для проведения проверки, представлены в полном объеме.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Осуществление Заказчиком конкурентных закупок, закупок у единственного поставщика (исполнителя, подрядчика) в проверяемом периоде, в том числе своевременность и достоверность направления информации о заключении, изменении, исполнении государственных контра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ктов в реестр контрактов, заключенных по итогам осуществления закупок.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осуществлении закупок, находящихся на стадии проведения и по которым на момент начала проведения первого этапа государственные контракты не заключены, нарушений требований Федеральн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закона № 44-ФЗ не выявлено.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ходе проведения второго этапа проверки установлено следующее.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Согласно части 1 статьи 34 Федерального закона № 44-ФЗ контракт заключается на условиях,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м случаев, в которых в соответствии с Федеральным законом № 44-ФЗ извещение об осуществлении закупки или приглашение, документация о закупке, заявка не предусмотрены.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части 9 статьи 37 Федерального закона № 44-ФЗ, если конкурс или аукцион проводит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ся для заключения контракта на поставку товаров, необходимых для нормального жизнеобеспечения граждан,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ачальной суммы цен единиц товара, наряду с требованиями, предусмотренными настоящей статьей,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указанием цены и количества поставляемого товара (за исключением случая, если количество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ка закупки осуществить поставку товара по предлагаемым цене, сумме цен единиц товара.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пунктом 2 части 10 статьи 37 Федерального закона № 44-ФЗ обоснование, указанное в части 9 данной статьи, представляется участником закупки, с которым зак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лючается контракт, при направлении заказчику подписанного проекта контракта при проведении электронного конкурса, аукциона. В случае невыполнения таким участником данного требования он признается уклонившимся от заключения контракта. При признании комиссие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й по осуществлению закупок, предложенных цены контракта, суммы цен единиц товара необоснованными контракт с таким участником не заключается и право заключения контракта переходит к участнику закупки, который предложил такие же, как и победитель этого конку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рса или аукциона, цену контракта, сумму цен единиц товара или предложение о цене контракта которого содержит лучшие условия по цене контракта, следующие после условий, предложенных победителем этого конкурса или аукциона. В этих случаях решение комиссии по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осуществлению закупок оформляется протоколом, который размещается в единой информационной системе и доводится до сведения всех участников закупки не позднее рабочего дня, следующего за днем подписания указанного протокола.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ЕИС размещено извещение от 22.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05.2022 № 0813500000123007650 с приложениями о проведении электронного аукциона на поставку изделий медицинского назначения с начальной (максимальной) ценой контракта 129 500,00 руб.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протоколу подведения итогов электронного аукциона от 30.05.2023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победителем закупки определен индивидуальный предприниматель Комарова Любовь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Алексеевна (далее-Победитель), которым предложена наименьшая цена для заключения контракта - 40 792,50 руб., снижение цены произошло на двадцать пять и более процентов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ниже началь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ной (максимальной) цены контракта.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силу пункта 2 части 10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статьи 37 Федерального закона № 44-ФЗ обоснование, указанное в части 9 статьи 37 Федерального закона № 44-ФЗ, представляется участником закупки, с которым заключается контракт, при направлении зак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азчику подписанного проекта контракта при проведении электронного конкурса, аукциона. 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качестве обоснования предлагаемой цены контракта Победителем закупки в адрес Заказчика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посредством электронной почты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направлено гарантийное письмо № 16 от 13.06.2023,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что не соответствует требованиям законодательства контрактной системы в сфере закупок.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части 1 статьи 34, части 9 статьи 37 Федерального закона № 44-ФЗ Заказчиком с индивидуальным предпринимателем Комаровой Любовью Алексеевной заключен контракт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от 13.06.2023 № 7650/2023 (реестровый номер 2183103096923000059) с ценой контракта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40 792,50 руб. без надлежащего предоставления обоснования предлагаемой цены контракта.</w:t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Согласно части 1 статьи 34 Федерального закона № 44-ФЗ контракт заключается на у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словиях, предусмотренных извещением об осуществлении закупки или приглашением, документацией о закупке, заявкой участника закупки, с которым заключается контракт, за исключением случаев, в которых в соответствии с Федеральным законом № 44-ФЗ извещение об о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существлении закупки или приглашение, документация о закупке, заявка не предусмотрены.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части 4 статьи 96 Федерального закона № 44-ФЗ контракт заключается после предоставления участником закупки, с которым заключается контракт, обеспечения исполнен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ия контракта в соответствии с Федеральным законом № 44-ФЗ.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8.1 статьи 96 Федерального закона № 44-ФЗ участник закупки, с которым заключается контракт по результатам определения поставщика (подрядчика, исполнителя) в соответствии с 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унктом 1 части 1 статьи 30 Федерального закона № 44-ФЗ, освобождается от предоставления обеспечения исполнения контракта, в том числе с учетом положений статьи 37 Федерального закона № 44-ФЗ, об обеспечении гарантийных обязательств в случае предоставления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правопреемства) в течение трех лет до даты подачи заявки на участие в закупке трех контрактов, исполнен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Федеральным законом № 44-ФЗ для предоставления обеспечения исполнения контракта. При этом 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ЕИС размещено извещение с приложениями о проведении электронного аукциона от 13.06.20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23 № 0813500000123009165 на оказание услуг по организации и проведению мероприятия «Пройди тест на ВИЧ» в рамках проведения фестиваля «Улетай-2023» с начальной (максимальной) ценой контракта – 891 000,00 руб. с преимуществом в отношении участников закупок,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которыми могут быть только субъекты малого предпринимательства, социально ориентированные некоммерческие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протоколу подведения итогов электронного аукциона № 0813500000123009165 от 22.06.2023 четыре заявки участников электронного аукц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иона признаны соответствующими требованиям законодательства о контрактной системе, где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победителем вышеуказанной закупки определен индивидуальный предприниматель Печников Сергей Михайлович (по заявке № 1937772), которым предложена наименьшая цена для заклю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чения контракта 758 720,00 руб. и в качестве обеспечения исполнения контракта предоставлены реестровые записи исполненных контрактов без применения неустоек (штрафов, пеней):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0311100008322000055, контракт исполнен на сумму 114 181,25 руб.;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031110000832200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0018, контракт исполнен на сумму 147 107,25 руб.;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0813500000122012049, контракт исполнен на сумму 169 874,91 руб.;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0813500000121005624, контракт исполнен на сумму 456 641,64 руб.;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0362100010021000405, контракт исполнен на сумму 125 000,00 руб.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Общая сумма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трех исполненных контрактов с наибольшей ценой, согласно представленным реестровым записям (0311100008322000018, 0813500000122012049, 0813500000121005624) составила – 773 623,80  руб., что менее начальной (максимальной) цены контракта, указанной в извещени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 об осуществлении закупки - 891 000,00 руб.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Таким образом, победитель закупки, предоставивший информацию об исполненных трех контрактах на сумму меньшую начальной (максимальной) цены контракта вышеуказанной закупки не освобождается от предоставления обес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печения исполнения контракта.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части 1 статьи 34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части 4 статьи 96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Федеральн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закона № 44-ФЗ по результатам проведения электронного аукциона на оказание услуг по организации и проведению мероприятия «Пройди тест на ВИЧ» в рамках проведения фе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стиваля «Улетай-2023» (извещение от 13.06.2023 № 0813500000123009165) Заказчиком с индивидуальным предпринимателем Печниковым Сергеем Михайловичем заключен контракт от 03.07.2023 № 9165/2023 (реестровый номер 2183103096923000067) без предоставления надлежа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щим образом обеспечения исполнения контракта.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3. Проверено 133 государственных контракта на своевременность направления информации о заключении контракта в реестр контрактов, заключенных Заказчиком в период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 xml:space="preserve">c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01.01.2023 по 31.03.2024. Нарушений не установ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лено.</w:t>
      </w:r>
      <w:r>
        <w:rPr>
          <w:rFonts w:ascii="Times New Roman" w:hAnsi="Times New Roman" w:cs="Times New Roman"/>
          <w:bCs/>
          <w:sz w:val="24"/>
          <w:szCs w:val="24"/>
          <w:u w:val="single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основании вышеизложенного, в рамках полномочий в установленной сфере деятельности, инспекция пришла к следующему выводу:</w:t>
      </w:r>
      <w:r>
        <w:rPr>
          <w:rFonts w:ascii="Times New Roman" w:hAnsi="Times New Roman" w:cs="Times New Roman"/>
          <w:b/>
          <w:bCs/>
          <w:sz w:val="24"/>
          <w:szCs w:val="24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</w:p>
    <w:p>
      <w:pPr>
        <w:pStyle w:val="750"/>
        <w:ind w:firstLine="709"/>
        <w:jc w:val="both"/>
      </w:pPr>
      <w:r>
        <w:t xml:space="preserve">1. При осуществлении Заказчиком закупок в проверяемом периоде допущены нарушения </w:t>
      </w:r>
      <w:r>
        <w:rPr>
          <w:bCs/>
        </w:rPr>
        <w:t xml:space="preserve">части 1 статьи 34, части 9 статьи, 37</w:t>
      </w:r>
      <w:r>
        <w:rPr>
          <w:bCs/>
        </w:rPr>
        <w:t xml:space="preserve"> части 4 статьи 96</w:t>
      </w:r>
      <w:r>
        <w:rPr>
          <w:bCs/>
          <w:color w:val="000000" w:themeColor="text1"/>
        </w:rPr>
        <w:t xml:space="preserve"> </w:t>
      </w:r>
      <w:r>
        <w:t xml:space="preserve"> Федерального закона 44-ФЗ в редакции, действовавшей на момент совершения нарушения.</w:t>
      </w:r>
      <w:r/>
    </w:p>
    <w:p>
      <w:pPr>
        <w:pStyle w:val="750"/>
        <w:ind w:firstLine="709"/>
        <w:jc w:val="both"/>
      </w:pPr>
      <w:r>
        <w:t xml:space="preserve">2</w:t>
      </w:r>
      <w:r>
        <w:t xml:space="preserve">. Рассмотреть вопрос о привлечении виновных лиц к административной ответственности за нарушение законодательства о контрактной системе.</w:t>
      </w:r>
      <w:r/>
    </w:p>
    <w:p>
      <w:pPr>
        <w:contextualSpacing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Начальник Уп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равления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Заместитель начальника отдела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Главный государственный инспектор отдела                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bCs/>
          <w:sz w:val="24"/>
          <w:szCs w:val="24"/>
        </w:rPr>
      </w:r>
    </w:p>
    <w:p>
      <w:pPr>
        <w:contextualSpacing/>
        <w:jc w:val="both"/>
        <w:spacing w:after="0" w:line="240" w:lineRule="auto"/>
        <w:tabs>
          <w:tab w:val="left" w:pos="284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contextualSpacing/>
        <w:ind w:firstLine="709"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</w:rPr>
      </w:pPr>
      <w:r/>
      <w:bookmarkStart w:id="0" w:name="_GoBack"/>
      <w:r/>
      <w:bookmarkEnd w:id="0"/>
      <w:r/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ind w:firstLine="426"/>
        <w:jc w:val="both"/>
        <w:spacing w:after="0" w:line="240" w:lineRule="auto"/>
        <w:tabs>
          <w:tab w:val="left" w:pos="0" w:leader="none"/>
          <w:tab w:val="left" w:pos="426" w:leader="none"/>
          <w:tab w:val="left" w:pos="851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Примечание: 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numPr>
          <w:ilvl w:val="0"/>
          <w:numId w:val="9"/>
        </w:numPr>
        <w:contextualSpacing/>
        <w:ind w:left="0" w:firstLine="426"/>
        <w:jc w:val="both"/>
        <w:spacing w:after="0" w:line="240" w:lineRule="auto"/>
        <w:tabs>
          <w:tab w:val="left" w:pos="0" w:leader="none"/>
          <w:tab w:val="left" w:pos="426" w:leader="none"/>
          <w:tab w:val="num" w:pos="720" w:leader="none"/>
          <w:tab w:val="left" w:pos="851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numPr>
          <w:ilvl w:val="0"/>
          <w:numId w:val="9"/>
        </w:numPr>
        <w:contextualSpacing/>
        <w:ind w:left="0" w:firstLine="426"/>
        <w:jc w:val="both"/>
        <w:spacing w:after="0" w:line="240" w:lineRule="auto"/>
        <w:tabs>
          <w:tab w:val="left" w:pos="0" w:leader="none"/>
          <w:tab w:val="left" w:pos="426" w:leader="none"/>
          <w:tab w:val="num" w:pos="720" w:leader="none"/>
          <w:tab w:val="left" w:pos="851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Заказчик</w:t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851" w:leader="none"/>
          <w:tab w:val="left" w:pos="993" w:leader="none"/>
          <w:tab w:val="num" w:pos="1070" w:leader="none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</w:r>
      <w:r>
        <w:rPr>
          <w:rFonts w:ascii="Times New Roman" w:hAnsi="Times New Roman" w:cs="Times New Roman"/>
          <w:bCs/>
          <w:sz w:val="20"/>
          <w:szCs w:val="20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851" w:leader="none"/>
          <w:tab w:val="left" w:pos="993" w:leader="none"/>
          <w:tab w:val="num" w:pos="1070" w:leader="none"/>
        </w:tabs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</w:r>
    </w:p>
    <w:p>
      <w:pPr>
        <w:contextualSpacing/>
        <w:jc w:val="both"/>
        <w:spacing w:after="0" w:line="240" w:lineRule="auto"/>
        <w:tabs>
          <w:tab w:val="left" w:pos="0" w:leader="none"/>
          <w:tab w:val="left" w:pos="851" w:leader="none"/>
          <w:tab w:val="left" w:pos="993" w:leader="none"/>
          <w:tab w:val="num" w:pos="1070" w:leader="none"/>
        </w:tabs>
        <w:rPr>
          <w:rFonts w:ascii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lang w:eastAsia="ru-RU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707" w:bottom="1134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RW Bookman">
    <w:panose1 w:val="00000700000000000000"/>
  </w:font>
  <w:font w:name="Tahom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rPr>
        <w:rStyle w:val="912"/>
      </w:rPr>
      <w:framePr w:wrap="auto" w:vAnchor="text" w:hAnchor="margin" w:xAlign="center" w:y="1"/>
    </w:pPr>
    <w:r>
      <w:rPr>
        <w:rStyle w:val="912"/>
      </w:rPr>
      <w:fldChar w:fldCharType="begin"/>
    </w:r>
    <w:r>
      <w:rPr>
        <w:rStyle w:val="912"/>
      </w:rPr>
      <w:instrText xml:space="preserve">PAGE  </w:instrText>
    </w:r>
    <w:r>
      <w:rPr>
        <w:rStyle w:val="912"/>
      </w:rPr>
      <w:fldChar w:fldCharType="separate"/>
    </w:r>
    <w:r>
      <w:rPr>
        <w:rStyle w:val="912"/>
      </w:rPr>
      <w:t xml:space="preserve">6</w:t>
    </w:r>
    <w:r>
      <w:rPr>
        <w:rStyle w:val="912"/>
      </w:rPr>
      <w:fldChar w:fldCharType="end"/>
    </w:r>
    <w:r>
      <w:rPr>
        <w:rStyle w:val="912"/>
      </w:rPr>
    </w:r>
  </w:p>
  <w:p>
    <w:pPr>
      <w:pStyle w:val="759"/>
    </w:pPr>
    <w:r/>
    <w:r/>
  </w:p>
  <w:p>
    <w:pPr>
      <w:pStyle w:val="75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</w:lvl>
  </w:abstractNum>
  <w:abstractNum w:abstractNumId="1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1430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1430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"/>
      <w:lvlJc w:val="left"/>
      <w:pPr>
        <w:ind w:left="1130" w:hanging="420"/>
      </w:p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2847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4625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6403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472" w:hanging="180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3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5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7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9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1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3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5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7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9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color w:val="000000"/>
      </w:rPr>
    </w:lvl>
    <w:lvl w:ilvl="1">
      <w:start w:val="2"/>
      <w:numFmt w:val="decimal"/>
      <w:isLgl w:val="false"/>
      <w:suff w:val="tab"/>
      <w:lvlText w:val="%1.%2"/>
      <w:lvlJc w:val="left"/>
      <w:pPr>
        <w:ind w:left="928" w:hanging="360"/>
      </w:pPr>
      <w:rPr>
        <w:color w:val="000000"/>
      </w:rPr>
    </w:lvl>
    <w:lvl w:ilvl="2">
      <w:start w:val="1"/>
      <w:numFmt w:val="decimal"/>
      <w:isLgl w:val="false"/>
      <w:suff w:val="tab"/>
      <w:lvlText w:val="%1.%2.%3"/>
      <w:lvlJc w:val="left"/>
      <w:pPr>
        <w:ind w:left="1856" w:hanging="720"/>
      </w:pPr>
      <w:rPr>
        <w:color w:val="00000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424" w:hanging="720"/>
      </w:pPr>
      <w:rPr>
        <w:color w:val="000000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352" w:hanging="1080"/>
      </w:pPr>
      <w:rPr>
        <w:color w:val="000000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920" w:hanging="1080"/>
      </w:pPr>
      <w:rPr>
        <w:color w:val="000000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848" w:hanging="1440"/>
      </w:pPr>
      <w:rPr>
        <w:color w:val="000000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416" w:hanging="1440"/>
      </w:pPr>
      <w:rPr>
        <w:color w:val="000000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44" w:hanging="1800"/>
      </w:pPr>
      <w:rPr>
        <w:color w:val="000000"/>
      </w:rPr>
    </w:lvl>
  </w:abstractNum>
  <w:abstractNum w:abstractNumId="12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2847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3">
    <w:multiLevelType w:val="hybridMultilevel"/>
    <w:lvl w:ilvl="0">
      <w:start w:val="4"/>
      <w:numFmt w:val="upperRoman"/>
      <w:isLgl w:val="false"/>
      <w:suff w:val="tab"/>
      <w:lvlText w:val="%1."/>
      <w:lvlJc w:val="left"/>
      <w:pPr>
        <w:ind w:left="143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252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2520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88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880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24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600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600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3960" w:hanging="180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</w:lvl>
  </w:abstractNum>
  <w:abstractNum w:abstractNumId="16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3131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1211" w:hanging="360"/>
      </w:pPr>
      <w:rPr>
        <w:rFonts w:ascii="Times New Roman" w:hAnsi="Times New Roman" w:eastAsia="Calibri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1496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424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992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2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488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5416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984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912" w:hanging="180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2"/>
      <w:numFmt w:val="decimal"/>
      <w:isLgl w:val="false"/>
      <w:suff w:val="tab"/>
      <w:lvlText w:val="%1.%2.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</w:lvl>
  </w:abstractNum>
  <w:abstractNum w:abstractNumId="19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3839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28" w:hanging="360"/>
      </w:pPr>
      <w:rPr>
        <w:rFonts w:ascii="Times New Roman" w:hAnsi="Times New Roman" w:eastAsia="Calibri"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</w:lvl>
    <w:lvl w:ilvl="1">
      <w:start w:val="5"/>
      <w:numFmt w:val="decimal"/>
      <w:isLgl w:val="false"/>
      <w:suff w:val="tab"/>
      <w:lvlText w:val="%1.%2"/>
      <w:lvlJc w:val="left"/>
      <w:pPr>
        <w:ind w:left="360" w:hanging="360"/>
      </w:p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</w:lvl>
    <w:lvl w:ilvl="3">
      <w:start w:val="1"/>
      <w:numFmt w:val="decimal"/>
      <w:isLgl w:val="false"/>
      <w:suff w:val="tab"/>
      <w:lvlText w:val="%1.%2.%3.%4"/>
      <w:lvlJc w:val="left"/>
      <w:pPr>
        <w:ind w:left="720" w:hanging="720"/>
      </w:p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</w:lvl>
    <w:lvl w:ilvl="5">
      <w:start w:val="1"/>
      <w:numFmt w:val="decimal"/>
      <w:isLgl w:val="false"/>
      <w:suff w:val="tab"/>
      <w:lvlText w:val="%1.%2.%3.%4.%5.%6"/>
      <w:lvlJc w:val="left"/>
      <w:pPr>
        <w:ind w:left="1080" w:hanging="1080"/>
      </w:p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</w:lvl>
    <w:lvl w:ilvl="7">
      <w:start w:val="1"/>
      <w:numFmt w:val="decimal"/>
      <w:isLgl w:val="false"/>
      <w:suff w:val="tab"/>
      <w:lvlText w:val="%1.%2.%3.%4.%5.%6.%7.%8"/>
      <w:lvlJc w:val="left"/>
      <w:pPr>
        <w:ind w:left="1440" w:hanging="1440"/>
      </w:p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800" w:hanging="1800"/>
      </w:p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8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space"/>
      <w:lvlText w:val="%4."/>
      <w:lvlJc w:val="left"/>
      <w:pPr>
        <w:ind w:left="26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2">
    <w:multiLevelType w:val="hybridMultilevel"/>
    <w:lvl w:ilvl="0">
      <w:start w:val="1"/>
      <w:numFmt w:val="upperRoman"/>
      <w:isLgl w:val="false"/>
      <w:suff w:val="space"/>
      <w:lvlText w:val="%1."/>
      <w:lvlJc w:val="left"/>
      <w:pPr>
        <w:ind w:left="2847" w:hanging="72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9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3"/>
      <w:numFmt w:val="decimal"/>
      <w:isLgl w:val="false"/>
      <w:suff w:val="tab"/>
      <w:lvlText w:val="%1.%2."/>
      <w:lvlJc w:val="left"/>
      <w:pPr>
        <w:ind w:left="928" w:hanging="36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85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2424" w:hanging="72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35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3920" w:hanging="108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4848" w:hanging="144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5416" w:hanging="144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6344" w:hanging="1800"/>
      </w:pPr>
    </w:lvl>
  </w:abstractNum>
  <w:num w:numId="1">
    <w:abstractNumId w:val="7"/>
  </w:num>
  <w:num w:numId="2">
    <w:abstractNumId w:val="1"/>
  </w:num>
  <w:num w:numId="3">
    <w:abstractNumId w:val="21"/>
  </w:num>
  <w:num w:numId="4">
    <w:abstractNumId w:val="22"/>
  </w:num>
  <w:num w:numId="5">
    <w:abstractNumId w:val="12"/>
  </w:num>
  <w:num w:numId="6">
    <w:abstractNumId w:val="1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5"/>
  </w:num>
  <w:num w:numId="16">
    <w:abstractNumId w:val="17"/>
  </w:num>
  <w:num w:numId="17">
    <w:abstractNumId w:val="0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20"/>
  </w:num>
  <w:num w:numId="21">
    <w:abstractNumId w:val="8"/>
  </w:num>
  <w:num w:numId="22">
    <w:abstractNumId w:val="23"/>
  </w:num>
  <w:num w:numId="23">
    <w:abstractNumId w:val="15"/>
  </w:num>
  <w:num w:numId="24">
    <w:abstractNumId w:val="14"/>
  </w:num>
  <w:num w:numId="25">
    <w:abstractNumId w:val="16"/>
  </w:num>
  <w:num w:numId="26">
    <w:abstractNumId w:val="10"/>
  </w:num>
  <w:num w:numId="27">
    <w:abstractNumId w:val="6"/>
  </w:num>
  <w:num w:numId="28">
    <w:abstractNumId w:val="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8">
    <w:name w:val="Heading 3 Char"/>
    <w:basedOn w:val="738"/>
    <w:link w:val="731"/>
    <w:uiPriority w:val="9"/>
    <w:rPr>
      <w:rFonts w:ascii="Arial" w:hAnsi="Arial" w:eastAsia="Arial" w:cs="Arial"/>
      <w:sz w:val="30"/>
      <w:szCs w:val="30"/>
    </w:rPr>
  </w:style>
  <w:style w:type="character" w:styleId="20">
    <w:name w:val="Heading 4 Char"/>
    <w:basedOn w:val="738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738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38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38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38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38"/>
    <w:link w:val="737"/>
    <w:uiPriority w:val="9"/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738"/>
    <w:link w:val="751"/>
    <w:uiPriority w:val="10"/>
    <w:rPr>
      <w:sz w:val="48"/>
      <w:szCs w:val="48"/>
    </w:rPr>
  </w:style>
  <w:style w:type="character" w:styleId="37">
    <w:name w:val="Subtitle Char"/>
    <w:basedOn w:val="738"/>
    <w:link w:val="753"/>
    <w:uiPriority w:val="11"/>
    <w:rPr>
      <w:sz w:val="24"/>
      <w:szCs w:val="24"/>
    </w:rPr>
  </w:style>
  <w:style w:type="character" w:styleId="39">
    <w:name w:val="Quote Char"/>
    <w:link w:val="755"/>
    <w:uiPriority w:val="29"/>
    <w:rPr>
      <w:i/>
    </w:rPr>
  </w:style>
  <w:style w:type="character" w:styleId="41">
    <w:name w:val="Intense Quote Char"/>
    <w:link w:val="757"/>
    <w:uiPriority w:val="30"/>
    <w:rPr>
      <w:i/>
    </w:rPr>
  </w:style>
  <w:style w:type="character" w:styleId="176">
    <w:name w:val="Footnote Text Char"/>
    <w:link w:val="892"/>
    <w:uiPriority w:val="99"/>
    <w:rPr>
      <w:sz w:val="18"/>
    </w:rPr>
  </w:style>
  <w:style w:type="character" w:styleId="179">
    <w:name w:val="Endnote Text Char"/>
    <w:link w:val="895"/>
    <w:uiPriority w:val="99"/>
    <w:rPr>
      <w:sz w:val="20"/>
    </w:rPr>
  </w:style>
  <w:style w:type="paragraph" w:styleId="728" w:default="1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729">
    <w:name w:val="Heading 1"/>
    <w:basedOn w:val="728"/>
    <w:next w:val="728"/>
    <w:link w:val="909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730">
    <w:name w:val="Heading 2"/>
    <w:basedOn w:val="728"/>
    <w:next w:val="728"/>
    <w:link w:val="910"/>
    <w:uiPriority w:val="99"/>
    <w:qFormat/>
    <w:pPr>
      <w:jc w:val="center"/>
      <w:keepNext/>
      <w:spacing w:after="0" w:line="240" w:lineRule="auto"/>
      <w:outlineLvl w:val="1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731">
    <w:name w:val="Heading 3"/>
    <w:basedOn w:val="728"/>
    <w:next w:val="728"/>
    <w:link w:val="7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32">
    <w:name w:val="Heading 4"/>
    <w:basedOn w:val="728"/>
    <w:next w:val="728"/>
    <w:link w:val="74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33">
    <w:name w:val="Heading 5"/>
    <w:basedOn w:val="728"/>
    <w:next w:val="728"/>
    <w:link w:val="745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728"/>
    <w:next w:val="728"/>
    <w:link w:val="746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35">
    <w:name w:val="Heading 7"/>
    <w:basedOn w:val="728"/>
    <w:next w:val="728"/>
    <w:link w:val="747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36">
    <w:name w:val="Heading 8"/>
    <w:basedOn w:val="728"/>
    <w:next w:val="728"/>
    <w:link w:val="748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37">
    <w:name w:val="Heading 9"/>
    <w:basedOn w:val="728"/>
    <w:next w:val="728"/>
    <w:link w:val="749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8" w:default="1">
    <w:name w:val="Default Paragraph Font"/>
    <w:uiPriority w:val="1"/>
    <w:semiHidden/>
    <w:unhideWhenUsed/>
  </w:style>
  <w:style w:type="table" w:styleId="73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0" w:default="1">
    <w:name w:val="No List"/>
    <w:uiPriority w:val="99"/>
    <w:semiHidden/>
    <w:unhideWhenUsed/>
  </w:style>
  <w:style w:type="character" w:styleId="74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42" w:customStyle="1">
    <w:name w:val="Heading 2 Char"/>
    <w:uiPriority w:val="9"/>
    <w:rPr>
      <w:rFonts w:ascii="Arial" w:hAnsi="Arial" w:eastAsia="Arial" w:cs="Arial"/>
      <w:sz w:val="34"/>
    </w:rPr>
  </w:style>
  <w:style w:type="character" w:styleId="743" w:customStyle="1">
    <w:name w:val="Заголовок 3 Знак"/>
    <w:link w:val="731"/>
    <w:uiPriority w:val="9"/>
    <w:rPr>
      <w:rFonts w:ascii="Arial" w:hAnsi="Arial" w:eastAsia="Arial" w:cs="Arial"/>
      <w:sz w:val="30"/>
      <w:szCs w:val="30"/>
    </w:rPr>
  </w:style>
  <w:style w:type="character" w:styleId="744" w:customStyle="1">
    <w:name w:val="Заголовок 4 Знак"/>
    <w:link w:val="732"/>
    <w:uiPriority w:val="9"/>
    <w:rPr>
      <w:rFonts w:ascii="Arial" w:hAnsi="Arial" w:eastAsia="Arial" w:cs="Arial"/>
      <w:b/>
      <w:bCs/>
      <w:sz w:val="26"/>
      <w:szCs w:val="26"/>
    </w:rPr>
  </w:style>
  <w:style w:type="character" w:styleId="745" w:customStyle="1">
    <w:name w:val="Заголовок 5 Знак"/>
    <w:link w:val="733"/>
    <w:uiPriority w:val="9"/>
    <w:rPr>
      <w:rFonts w:ascii="Arial" w:hAnsi="Arial" w:eastAsia="Arial" w:cs="Arial"/>
      <w:b/>
      <w:bCs/>
      <w:sz w:val="24"/>
      <w:szCs w:val="24"/>
    </w:rPr>
  </w:style>
  <w:style w:type="character" w:styleId="746" w:customStyle="1">
    <w:name w:val="Заголовок 6 Знак"/>
    <w:link w:val="734"/>
    <w:uiPriority w:val="9"/>
    <w:rPr>
      <w:rFonts w:ascii="Arial" w:hAnsi="Arial" w:eastAsia="Arial" w:cs="Arial"/>
      <w:b/>
      <w:bCs/>
      <w:sz w:val="22"/>
      <w:szCs w:val="22"/>
    </w:rPr>
  </w:style>
  <w:style w:type="character" w:styleId="747" w:customStyle="1">
    <w:name w:val="Заголовок 7 Знак"/>
    <w:link w:val="73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8" w:customStyle="1">
    <w:name w:val="Заголовок 8 Знак"/>
    <w:link w:val="736"/>
    <w:uiPriority w:val="9"/>
    <w:rPr>
      <w:rFonts w:ascii="Arial" w:hAnsi="Arial" w:eastAsia="Arial" w:cs="Arial"/>
      <w:i/>
      <w:iCs/>
      <w:sz w:val="22"/>
      <w:szCs w:val="22"/>
    </w:rPr>
  </w:style>
  <w:style w:type="character" w:styleId="749" w:customStyle="1">
    <w:name w:val="Заголовок 9 Знак"/>
    <w:link w:val="737"/>
    <w:uiPriority w:val="9"/>
    <w:rPr>
      <w:rFonts w:ascii="Arial" w:hAnsi="Arial" w:eastAsia="Arial" w:cs="Arial"/>
      <w:i/>
      <w:iCs/>
      <w:sz w:val="21"/>
      <w:szCs w:val="21"/>
    </w:rPr>
  </w:style>
  <w:style w:type="paragraph" w:styleId="750">
    <w:name w:val="No Spacing"/>
    <w:link w:val="920"/>
    <w:uiPriority w:val="1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751">
    <w:name w:val="Title"/>
    <w:basedOn w:val="728"/>
    <w:next w:val="728"/>
    <w:link w:val="752"/>
    <w:uiPriority w:val="10"/>
    <w:qFormat/>
    <w:pPr>
      <w:contextualSpacing/>
      <w:spacing w:before="300"/>
    </w:pPr>
    <w:rPr>
      <w:sz w:val="48"/>
      <w:szCs w:val="48"/>
    </w:rPr>
  </w:style>
  <w:style w:type="character" w:styleId="752" w:customStyle="1">
    <w:name w:val="Название Знак"/>
    <w:link w:val="751"/>
    <w:uiPriority w:val="10"/>
    <w:rPr>
      <w:sz w:val="48"/>
      <w:szCs w:val="48"/>
    </w:rPr>
  </w:style>
  <w:style w:type="paragraph" w:styleId="753">
    <w:name w:val="Subtitle"/>
    <w:basedOn w:val="728"/>
    <w:next w:val="728"/>
    <w:link w:val="754"/>
    <w:uiPriority w:val="11"/>
    <w:qFormat/>
    <w:pPr>
      <w:spacing w:before="200"/>
    </w:pPr>
    <w:rPr>
      <w:sz w:val="24"/>
      <w:szCs w:val="24"/>
    </w:rPr>
  </w:style>
  <w:style w:type="character" w:styleId="754" w:customStyle="1">
    <w:name w:val="Подзаголовок Знак"/>
    <w:link w:val="753"/>
    <w:uiPriority w:val="11"/>
    <w:rPr>
      <w:sz w:val="24"/>
      <w:szCs w:val="24"/>
    </w:rPr>
  </w:style>
  <w:style w:type="paragraph" w:styleId="755">
    <w:name w:val="Quote"/>
    <w:basedOn w:val="728"/>
    <w:next w:val="728"/>
    <w:link w:val="756"/>
    <w:uiPriority w:val="29"/>
    <w:qFormat/>
    <w:pPr>
      <w:ind w:left="720" w:right="720"/>
    </w:pPr>
    <w:rPr>
      <w:i/>
    </w:rPr>
  </w:style>
  <w:style w:type="character" w:styleId="756" w:customStyle="1">
    <w:name w:val="Цитата 2 Знак"/>
    <w:link w:val="755"/>
    <w:uiPriority w:val="29"/>
    <w:rPr>
      <w:i/>
    </w:rPr>
  </w:style>
  <w:style w:type="paragraph" w:styleId="757">
    <w:name w:val="Intense Quote"/>
    <w:basedOn w:val="728"/>
    <w:next w:val="728"/>
    <w:link w:val="75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8" w:customStyle="1">
    <w:name w:val="Выделенная цитата Знак"/>
    <w:link w:val="757"/>
    <w:uiPriority w:val="30"/>
    <w:rPr>
      <w:i/>
    </w:rPr>
  </w:style>
  <w:style w:type="paragraph" w:styleId="759">
    <w:name w:val="Header"/>
    <w:basedOn w:val="728"/>
    <w:link w:val="911"/>
    <w:uiPriority w:val="99"/>
    <w:pPr>
      <w:spacing w:after="0" w:line="240" w:lineRule="auto"/>
      <w:tabs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 w:eastAsia="ru-RU"/>
    </w:rPr>
  </w:style>
  <w:style w:type="character" w:styleId="760" w:customStyle="1">
    <w:name w:val="Header Char"/>
    <w:uiPriority w:val="99"/>
  </w:style>
  <w:style w:type="paragraph" w:styleId="761">
    <w:name w:val="Footer"/>
    <w:basedOn w:val="728"/>
    <w:link w:val="935"/>
    <w:uiPriority w:val="99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62" w:customStyle="1">
    <w:name w:val="Footer Char"/>
    <w:uiPriority w:val="99"/>
  </w:style>
  <w:style w:type="paragraph" w:styleId="763">
    <w:name w:val="Caption"/>
    <w:basedOn w:val="728"/>
    <w:next w:val="7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764" w:customStyle="1">
    <w:name w:val="Caption Char"/>
    <w:uiPriority w:val="99"/>
  </w:style>
  <w:style w:type="table" w:styleId="765">
    <w:name w:val="Table Grid"/>
    <w:basedOn w:val="739"/>
    <w:uiPriority w:val="59"/>
    <w:rPr>
      <w:sz w:val="22"/>
      <w:szCs w:val="22"/>
      <w:lang w:eastAsia="en-US"/>
    </w:rPr>
    <w:tblPr/>
  </w:style>
  <w:style w:type="table" w:styleId="766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7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9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0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4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95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97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9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0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01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02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03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04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05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06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07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08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9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0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11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12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3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14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9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0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31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32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33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34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35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0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1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2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3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4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5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6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57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58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9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0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61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62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63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1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2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3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4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5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6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7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78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9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0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1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2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3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4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85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86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87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88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9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0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91">
    <w:name w:val="Hyperlink"/>
    <w:uiPriority w:val="99"/>
    <w:rPr>
      <w:color w:val="0000ff"/>
      <w:u w:val="single"/>
    </w:rPr>
  </w:style>
  <w:style w:type="paragraph" w:styleId="892">
    <w:name w:val="footnote text"/>
    <w:basedOn w:val="728"/>
    <w:link w:val="893"/>
    <w:uiPriority w:val="99"/>
    <w:semiHidden/>
    <w:unhideWhenUsed/>
    <w:pPr>
      <w:spacing w:after="40" w:line="240" w:lineRule="auto"/>
    </w:pPr>
    <w:rPr>
      <w:sz w:val="18"/>
    </w:rPr>
  </w:style>
  <w:style w:type="character" w:styleId="893" w:customStyle="1">
    <w:name w:val="Текст сноски Знак"/>
    <w:link w:val="892"/>
    <w:uiPriority w:val="99"/>
    <w:rPr>
      <w:sz w:val="18"/>
    </w:rPr>
  </w:style>
  <w:style w:type="character" w:styleId="894">
    <w:name w:val="footnote reference"/>
    <w:uiPriority w:val="99"/>
    <w:unhideWhenUsed/>
    <w:rPr>
      <w:vertAlign w:val="superscript"/>
    </w:rPr>
  </w:style>
  <w:style w:type="paragraph" w:styleId="895">
    <w:name w:val="endnote text"/>
    <w:basedOn w:val="728"/>
    <w:link w:val="896"/>
    <w:uiPriority w:val="99"/>
    <w:semiHidden/>
    <w:unhideWhenUsed/>
    <w:pPr>
      <w:spacing w:after="0" w:line="240" w:lineRule="auto"/>
    </w:pPr>
    <w:rPr>
      <w:sz w:val="20"/>
    </w:rPr>
  </w:style>
  <w:style w:type="character" w:styleId="896" w:customStyle="1">
    <w:name w:val="Текст концевой сноски Знак"/>
    <w:link w:val="895"/>
    <w:uiPriority w:val="99"/>
    <w:rPr>
      <w:sz w:val="20"/>
    </w:rPr>
  </w:style>
  <w:style w:type="character" w:styleId="897">
    <w:name w:val="endnote reference"/>
    <w:uiPriority w:val="99"/>
    <w:semiHidden/>
    <w:unhideWhenUsed/>
    <w:rPr>
      <w:vertAlign w:val="superscript"/>
    </w:rPr>
  </w:style>
  <w:style w:type="paragraph" w:styleId="898">
    <w:name w:val="toc 1"/>
    <w:basedOn w:val="728"/>
    <w:next w:val="728"/>
    <w:uiPriority w:val="39"/>
    <w:unhideWhenUsed/>
    <w:pPr>
      <w:spacing w:after="57"/>
    </w:pPr>
  </w:style>
  <w:style w:type="paragraph" w:styleId="899">
    <w:name w:val="toc 2"/>
    <w:basedOn w:val="728"/>
    <w:next w:val="728"/>
    <w:uiPriority w:val="39"/>
    <w:unhideWhenUsed/>
    <w:pPr>
      <w:ind w:left="283"/>
      <w:spacing w:after="57"/>
    </w:pPr>
  </w:style>
  <w:style w:type="paragraph" w:styleId="900">
    <w:name w:val="toc 3"/>
    <w:basedOn w:val="728"/>
    <w:next w:val="728"/>
    <w:uiPriority w:val="39"/>
    <w:unhideWhenUsed/>
    <w:pPr>
      <w:ind w:left="567"/>
      <w:spacing w:after="57"/>
    </w:pPr>
  </w:style>
  <w:style w:type="paragraph" w:styleId="901">
    <w:name w:val="toc 4"/>
    <w:basedOn w:val="728"/>
    <w:next w:val="728"/>
    <w:uiPriority w:val="39"/>
    <w:unhideWhenUsed/>
    <w:pPr>
      <w:ind w:left="850"/>
      <w:spacing w:after="57"/>
    </w:pPr>
  </w:style>
  <w:style w:type="paragraph" w:styleId="902">
    <w:name w:val="toc 5"/>
    <w:basedOn w:val="728"/>
    <w:next w:val="728"/>
    <w:uiPriority w:val="39"/>
    <w:unhideWhenUsed/>
    <w:pPr>
      <w:ind w:left="1134"/>
      <w:spacing w:after="57"/>
    </w:pPr>
  </w:style>
  <w:style w:type="paragraph" w:styleId="903">
    <w:name w:val="toc 6"/>
    <w:basedOn w:val="728"/>
    <w:next w:val="728"/>
    <w:uiPriority w:val="39"/>
    <w:unhideWhenUsed/>
    <w:pPr>
      <w:ind w:left="1417"/>
      <w:spacing w:after="57"/>
    </w:pPr>
  </w:style>
  <w:style w:type="paragraph" w:styleId="904">
    <w:name w:val="toc 7"/>
    <w:basedOn w:val="728"/>
    <w:next w:val="728"/>
    <w:uiPriority w:val="39"/>
    <w:unhideWhenUsed/>
    <w:pPr>
      <w:ind w:left="1701"/>
      <w:spacing w:after="57"/>
    </w:pPr>
  </w:style>
  <w:style w:type="paragraph" w:styleId="905">
    <w:name w:val="toc 8"/>
    <w:basedOn w:val="728"/>
    <w:next w:val="728"/>
    <w:uiPriority w:val="39"/>
    <w:unhideWhenUsed/>
    <w:pPr>
      <w:ind w:left="1984"/>
      <w:spacing w:after="57"/>
    </w:pPr>
  </w:style>
  <w:style w:type="paragraph" w:styleId="906">
    <w:name w:val="toc 9"/>
    <w:basedOn w:val="728"/>
    <w:next w:val="728"/>
    <w:uiPriority w:val="39"/>
    <w:unhideWhenUsed/>
    <w:pPr>
      <w:ind w:left="2268"/>
      <w:spacing w:after="57"/>
    </w:pPr>
  </w:style>
  <w:style w:type="paragraph" w:styleId="907">
    <w:name w:val="TOC Heading"/>
    <w:uiPriority w:val="39"/>
    <w:unhideWhenUsed/>
  </w:style>
  <w:style w:type="paragraph" w:styleId="908">
    <w:name w:val="table of figures"/>
    <w:basedOn w:val="728"/>
    <w:next w:val="728"/>
    <w:uiPriority w:val="99"/>
    <w:unhideWhenUsed/>
    <w:pPr>
      <w:spacing w:after="0"/>
    </w:pPr>
  </w:style>
  <w:style w:type="character" w:styleId="909" w:customStyle="1">
    <w:name w:val="Заголовок 1 Знак"/>
    <w:link w:val="729"/>
    <w:uiPriority w:val="9"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910" w:customStyle="1">
    <w:name w:val="Заголовок 2 Знак"/>
    <w:link w:val="730"/>
    <w:uiPriority w:val="99"/>
    <w:rPr>
      <w:rFonts w:ascii="Times New Roman" w:hAnsi="Times New Roman" w:cs="Times New Roman"/>
      <w:sz w:val="20"/>
      <w:szCs w:val="20"/>
      <w:lang w:eastAsia="ru-RU"/>
    </w:rPr>
  </w:style>
  <w:style w:type="character" w:styleId="911" w:customStyle="1">
    <w:name w:val="Верхний колонтитул Знак"/>
    <w:link w:val="759"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styleId="912">
    <w:name w:val="page number"/>
    <w:basedOn w:val="738"/>
    <w:uiPriority w:val="99"/>
  </w:style>
  <w:style w:type="paragraph" w:styleId="913">
    <w:name w:val="List Paragraph"/>
    <w:basedOn w:val="728"/>
    <w:pPr>
      <w:contextualSpacing/>
      <w:ind w:left="720"/>
    </w:pPr>
    <w:rPr>
      <w:rFonts w:eastAsia="Times New Roman" w:cs="Times New Roman"/>
    </w:rPr>
  </w:style>
  <w:style w:type="paragraph" w:styleId="914" w:customStyle="1">
    <w:name w:val="1"/>
    <w:basedOn w:val="728"/>
    <w:uiPriority w:val="99"/>
    <w:pPr>
      <w:jc w:val="center"/>
      <w:spacing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15" w:customStyle="1">
    <w:name w:val="ConsPlusNormal"/>
    <w:link w:val="916"/>
    <w:qFormat/>
    <w:rPr>
      <w:rFonts w:ascii="Arial" w:hAnsi="Arial" w:cs="Arial"/>
      <w:lang w:eastAsia="en-US"/>
    </w:rPr>
  </w:style>
  <w:style w:type="character" w:styleId="916" w:customStyle="1">
    <w:name w:val="ConsPlusNormal Знак"/>
    <w:link w:val="915"/>
    <w:rPr>
      <w:rFonts w:ascii="Arial" w:hAnsi="Arial" w:cs="Arial"/>
      <w:lang w:eastAsia="en-US"/>
    </w:rPr>
  </w:style>
  <w:style w:type="paragraph" w:styleId="917">
    <w:name w:val="Balloon Text"/>
    <w:basedOn w:val="728"/>
    <w:link w:val="918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  <w:lang w:val="en-US"/>
    </w:rPr>
  </w:style>
  <w:style w:type="character" w:styleId="918" w:customStyle="1">
    <w:name w:val="Текст выноски Знак"/>
    <w:link w:val="917"/>
    <w:uiPriority w:val="99"/>
    <w:semiHidden/>
    <w:rPr>
      <w:rFonts w:ascii="Tahoma" w:hAnsi="Tahoma" w:cs="Tahoma"/>
      <w:sz w:val="16"/>
      <w:szCs w:val="16"/>
    </w:rPr>
  </w:style>
  <w:style w:type="paragraph" w:styleId="919" w:customStyle="1">
    <w:name w:val="ConsPlusCell"/>
    <w:uiPriority w:val="99"/>
    <w:rPr>
      <w:rFonts w:ascii="Arial" w:hAnsi="Arial" w:cs="Arial"/>
      <w:lang w:eastAsia="en-US"/>
    </w:rPr>
  </w:style>
  <w:style w:type="character" w:styleId="920" w:customStyle="1">
    <w:name w:val="Без интервала Знак"/>
    <w:link w:val="750"/>
    <w:uiPriority w:val="1"/>
    <w:rPr>
      <w:rFonts w:ascii="Times New Roman" w:hAnsi="Times New Roman" w:eastAsia="Times New Roman"/>
      <w:sz w:val="24"/>
      <w:szCs w:val="24"/>
      <w:lang w:bidi="ar-SA"/>
    </w:rPr>
  </w:style>
  <w:style w:type="character" w:styleId="921" w:customStyle="1">
    <w:name w:val="spellchecker-word-highlight"/>
    <w:basedOn w:val="738"/>
  </w:style>
  <w:style w:type="paragraph" w:styleId="922" w:customStyle="1">
    <w:name w:val="parametervalue"/>
    <w:basedOn w:val="7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3" w:customStyle="1">
    <w:name w:val="parameter"/>
    <w:basedOn w:val="72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4">
    <w:name w:val="Body Text 3"/>
    <w:basedOn w:val="728"/>
    <w:link w:val="925"/>
    <w:uiPriority w:val="99"/>
    <w:semiHidden/>
    <w:pPr>
      <w:jc w:val="center"/>
      <w:spacing w:after="0" w:line="240" w:lineRule="auto"/>
    </w:pPr>
    <w:rPr>
      <w:rFonts w:ascii="Times New Roman" w:hAnsi="Times New Roman" w:cs="Times New Roman"/>
      <w:sz w:val="20"/>
      <w:szCs w:val="20"/>
      <w:lang w:val="en-US" w:eastAsia="ru-RU"/>
    </w:rPr>
  </w:style>
  <w:style w:type="character" w:styleId="925" w:customStyle="1">
    <w:name w:val="Основной текст 3 Знак"/>
    <w:link w:val="924"/>
    <w:uiPriority w:val="99"/>
    <w:semiHidden/>
    <w:rPr>
      <w:rFonts w:ascii="Times New Roman" w:hAnsi="Times New Roman" w:cs="Times New Roman"/>
      <w:sz w:val="20"/>
      <w:szCs w:val="20"/>
      <w:lang w:eastAsia="ru-RU"/>
    </w:rPr>
  </w:style>
  <w:style w:type="paragraph" w:styleId="926" w:customStyle="1">
    <w:name w:val="Абзац списка1"/>
    <w:basedOn w:val="728"/>
    <w:uiPriority w:val="99"/>
    <w:pPr>
      <w:ind w:left="720"/>
    </w:pPr>
    <w:rPr>
      <w:rFonts w:eastAsia="Times New Roman"/>
    </w:rPr>
  </w:style>
  <w:style w:type="paragraph" w:styleId="927">
    <w:name w:val="Body Text Indent 3"/>
    <w:basedOn w:val="728"/>
    <w:link w:val="928"/>
    <w:uiPriority w:val="99"/>
    <w:semiHidden/>
    <w:pPr>
      <w:ind w:left="283"/>
      <w:spacing w:after="120"/>
    </w:pPr>
    <w:rPr>
      <w:rFonts w:cs="Times New Roman"/>
      <w:sz w:val="16"/>
      <w:szCs w:val="16"/>
      <w:lang w:val="en-US"/>
    </w:rPr>
  </w:style>
  <w:style w:type="character" w:styleId="928" w:customStyle="1">
    <w:name w:val="Основной текст с отступом 3 Знак"/>
    <w:link w:val="927"/>
    <w:uiPriority w:val="99"/>
    <w:semiHidden/>
    <w:rPr>
      <w:sz w:val="16"/>
      <w:szCs w:val="16"/>
    </w:rPr>
  </w:style>
  <w:style w:type="paragraph" w:styleId="929" w:customStyle="1">
    <w:name w:val="Абзац списка2"/>
    <w:basedOn w:val="728"/>
    <w:uiPriority w:val="99"/>
    <w:pPr>
      <w:ind w:left="720"/>
    </w:pPr>
    <w:rPr>
      <w:rFonts w:eastAsia="Times New Roman"/>
    </w:rPr>
  </w:style>
  <w:style w:type="paragraph" w:styleId="930" w:customStyle="1">
    <w:name w:val="Знак Знак"/>
    <w:basedOn w:val="728"/>
    <w:uiPriority w:val="99"/>
    <w:pPr>
      <w:jc w:val="center"/>
      <w:spacing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31" w:customStyle="1">
    <w:name w:val="Знак"/>
    <w:basedOn w:val="728"/>
    <w:uiPriority w:val="99"/>
    <w:pPr>
      <w:jc w:val="center"/>
      <w:spacing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32" w:customStyle="1">
    <w:name w:val="1 Знак"/>
    <w:basedOn w:val="728"/>
    <w:pPr>
      <w:jc w:val="center"/>
      <w:spacing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character" w:styleId="933" w:customStyle="1">
    <w:name w:val="spellchecker-word-highlight1"/>
    <w:uiPriority w:val="99"/>
    <w:rPr>
      <w:u w:val="none"/>
    </w:rPr>
  </w:style>
  <w:style w:type="paragraph" w:styleId="934" w:customStyle="1">
    <w:name w:val="Абзац списка3"/>
    <w:basedOn w:val="728"/>
    <w:uiPriority w:val="99"/>
    <w:pPr>
      <w:ind w:left="720"/>
    </w:pPr>
    <w:rPr>
      <w:rFonts w:eastAsia="Times New Roman"/>
    </w:rPr>
  </w:style>
  <w:style w:type="character" w:styleId="935" w:customStyle="1">
    <w:name w:val="Нижний колонтитул Знак"/>
    <w:basedOn w:val="738"/>
    <w:link w:val="761"/>
    <w:uiPriority w:val="99"/>
  </w:style>
  <w:style w:type="paragraph" w:styleId="936">
    <w:name w:val="Body Text Indent"/>
    <w:basedOn w:val="728"/>
    <w:link w:val="937"/>
    <w:uiPriority w:val="99"/>
    <w:semiHidden/>
    <w:unhideWhenUsed/>
    <w:pPr>
      <w:ind w:left="283"/>
      <w:spacing w:after="120"/>
    </w:pPr>
    <w:rPr>
      <w:rFonts w:cs="Times New Roman"/>
      <w:lang w:val="en-US"/>
    </w:rPr>
  </w:style>
  <w:style w:type="character" w:styleId="937" w:customStyle="1">
    <w:name w:val="Основной текст с отступом Знак"/>
    <w:link w:val="936"/>
    <w:uiPriority w:val="99"/>
    <w:semiHidden/>
    <w:rPr>
      <w:rFonts w:cs="Calibri"/>
      <w:sz w:val="22"/>
      <w:szCs w:val="22"/>
      <w:lang w:eastAsia="en-US"/>
    </w:rPr>
  </w:style>
  <w:style w:type="paragraph" w:styleId="938">
    <w:name w:val="Body Text"/>
    <w:basedOn w:val="728"/>
    <w:link w:val="939"/>
    <w:uiPriority w:val="99"/>
    <w:semiHidden/>
    <w:unhideWhenUsed/>
    <w:pPr>
      <w:spacing w:after="120"/>
    </w:pPr>
    <w:rPr>
      <w:rFonts w:cs="Times New Roman"/>
      <w:lang w:val="en-US"/>
    </w:rPr>
  </w:style>
  <w:style w:type="character" w:styleId="939" w:customStyle="1">
    <w:name w:val="Основной текст Знак"/>
    <w:link w:val="938"/>
    <w:uiPriority w:val="99"/>
    <w:semiHidden/>
    <w:rPr>
      <w:rFonts w:cs="Calibri"/>
      <w:sz w:val="22"/>
      <w:szCs w:val="22"/>
      <w:lang w:eastAsia="en-US"/>
    </w:rPr>
  </w:style>
  <w:style w:type="character" w:styleId="940" w:customStyle="1">
    <w:name w:val="apple-converted-space"/>
    <w:basedOn w:val="738"/>
  </w:style>
  <w:style w:type="paragraph" w:styleId="941">
    <w:name w:val="Normal (Web)"/>
    <w:basedOn w:val="728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2" w:customStyle="1">
    <w:name w:val="Стиль3"/>
    <w:basedOn w:val="943"/>
    <w:pPr>
      <w:jc w:val="both"/>
      <w:spacing w:before="10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43">
    <w:name w:val="Body Text Indent 2"/>
    <w:basedOn w:val="728"/>
    <w:link w:val="944"/>
    <w:uiPriority w:val="99"/>
    <w:semiHidden/>
    <w:unhideWhenUsed/>
    <w:pPr>
      <w:ind w:left="283"/>
      <w:spacing w:after="120" w:line="480" w:lineRule="auto"/>
    </w:pPr>
    <w:rPr>
      <w:rFonts w:cs="Times New Roman"/>
      <w:lang w:val="en-US"/>
    </w:rPr>
  </w:style>
  <w:style w:type="character" w:styleId="944" w:customStyle="1">
    <w:name w:val="Основной текст с отступом 2 Знак"/>
    <w:link w:val="943"/>
    <w:uiPriority w:val="99"/>
    <w:semiHidden/>
    <w:rPr>
      <w:rFonts w:cs="Calibri"/>
      <w:sz w:val="22"/>
      <w:szCs w:val="22"/>
      <w:lang w:eastAsia="en-US"/>
    </w:rPr>
  </w:style>
  <w:style w:type="character" w:styleId="945" w:customStyle="1">
    <w:name w:val="cardmaininfo__purchaselink"/>
  </w:style>
  <w:style w:type="character" w:styleId="946" w:customStyle="1">
    <w:name w:val="cardmaininfo__state"/>
  </w:style>
  <w:style w:type="character" w:styleId="947" w:customStyle="1">
    <w:name w:val="Основной текст (2)_"/>
    <w:link w:val="948"/>
    <w:uiPriority w:val="99"/>
    <w:rPr>
      <w:rFonts w:ascii="Times New Roman" w:hAnsi="Times New Roman"/>
      <w:sz w:val="28"/>
      <w:shd w:val="clear" w:color="auto" w:fill="ffffff"/>
    </w:rPr>
  </w:style>
  <w:style w:type="paragraph" w:styleId="948" w:customStyle="1">
    <w:name w:val="Основной текст (2)1"/>
    <w:basedOn w:val="728"/>
    <w:link w:val="947"/>
    <w:uiPriority w:val="99"/>
    <w:pPr>
      <w:jc w:val="right"/>
      <w:spacing w:before="960" w:after="1140" w:line="240" w:lineRule="atLeast"/>
      <w:shd w:val="clear" w:color="auto" w:fill="ffffff"/>
      <w:widowControl w:val="off"/>
    </w:pPr>
    <w:rPr>
      <w:rFonts w:ascii="Times New Roman" w:hAnsi="Times New Roman" w:cs="Times New Roman"/>
      <w:sz w:val="28"/>
      <w:szCs w:val="20"/>
      <w:lang w:eastAsia="ru-RU"/>
    </w:rPr>
  </w:style>
  <w:style w:type="paragraph" w:styleId="949" w:customStyle="1">
    <w:name w:val="Default"/>
    <w:rPr>
      <w:rFonts w:ascii="Times New Roman" w:hAnsi="Times New Roman" w:eastAsia="Times New Roman"/>
      <w:color w:val="000000"/>
      <w:sz w:val="24"/>
      <w:szCs w:val="24"/>
      <w:lang w:eastAsia="ru-RU"/>
    </w:rPr>
  </w:style>
  <w:style w:type="character" w:styleId="950" w:customStyle="1">
    <w:name w:val="highlightcolor"/>
  </w:style>
  <w:style w:type="character" w:styleId="951">
    <w:name w:val="annotation reference"/>
    <w:uiPriority w:val="99"/>
    <w:semiHidden/>
    <w:unhideWhenUsed/>
    <w:rPr>
      <w:sz w:val="16"/>
      <w:szCs w:val="16"/>
    </w:rPr>
  </w:style>
  <w:style w:type="paragraph" w:styleId="952">
    <w:name w:val="annotation text"/>
    <w:basedOn w:val="728"/>
    <w:link w:val="953"/>
    <w:uiPriority w:val="99"/>
    <w:semiHidden/>
    <w:unhideWhenUsed/>
    <w:rPr>
      <w:sz w:val="20"/>
      <w:szCs w:val="20"/>
    </w:rPr>
  </w:style>
  <w:style w:type="character" w:styleId="953" w:customStyle="1">
    <w:name w:val="Текст примечания Знак"/>
    <w:link w:val="952"/>
    <w:uiPriority w:val="99"/>
    <w:semiHidden/>
    <w:rPr>
      <w:rFonts w:cs="Calibri"/>
      <w:lang w:eastAsia="en-US"/>
    </w:rPr>
  </w:style>
  <w:style w:type="paragraph" w:styleId="954">
    <w:name w:val="annotation subject"/>
    <w:basedOn w:val="952"/>
    <w:next w:val="952"/>
    <w:link w:val="955"/>
    <w:uiPriority w:val="99"/>
    <w:semiHidden/>
    <w:unhideWhenUsed/>
    <w:rPr>
      <w:b/>
      <w:bCs/>
    </w:rPr>
  </w:style>
  <w:style w:type="character" w:styleId="955" w:customStyle="1">
    <w:name w:val="Тема примечания Знак"/>
    <w:link w:val="954"/>
    <w:uiPriority w:val="99"/>
    <w:semiHidden/>
    <w:rPr>
      <w:rFonts w:cs="Calibri"/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zakupki.gov.ru/epz/order/notice/ea20/view/common-info.html?regNumber=0813500000124005079" TargetMode="External"/><Relationship Id="rId11" Type="http://schemas.openxmlformats.org/officeDocument/2006/relationships/hyperlink" Target="https://zakupki.gov.ru/epz/order/notice/ea20/view/common-info.html?regNumber=0813500000124005243" TargetMode="External"/><Relationship Id="rId12" Type="http://schemas.openxmlformats.org/officeDocument/2006/relationships/hyperlink" Target="https://zakupki.gov.ru/epz/order/notice/ea20/view/common-info.html?regNumber=0813500000124005154" TargetMode="External"/><Relationship Id="rId13" Type="http://schemas.openxmlformats.org/officeDocument/2006/relationships/hyperlink" Target="https://zakupki.gov.ru/epz/order/notice/ea20/view/common-info.html?regNumber=0813500000124005253" TargetMode="External"/><Relationship Id="rId14" Type="http://schemas.openxmlformats.org/officeDocument/2006/relationships/hyperlink" Target="https://zakupki.gov.ru/epz/order/notice/ea20/view/common-info.html?regNumber=0813500000124005269" TargetMode="External"/><Relationship Id="rId15" Type="http://schemas.openxmlformats.org/officeDocument/2006/relationships/hyperlink" Target="https://zakupki.gov.ru/epz/order/notice/ea20/view/common-info.html?regNumber=0813500000124005148" TargetMode="External"/><Relationship Id="rId16" Type="http://schemas.openxmlformats.org/officeDocument/2006/relationships/hyperlink" Target="https://zakupki.gov.ru/epz/order/notice/ea20/view/common-info.html?regNumber=0813500000124005155" TargetMode="External"/><Relationship Id="rId17" Type="http://schemas.openxmlformats.org/officeDocument/2006/relationships/hyperlink" Target="https://zakupki.gov.ru/epz/order/notice/ea20/view/common-info.html?regNumber=0813500000124005110" TargetMode="External"/><Relationship Id="rId18" Type="http://schemas.openxmlformats.org/officeDocument/2006/relationships/hyperlink" Target="https://zakupki.gov.ru/epz/order/notice/ea20/view/common-info.html?regNumber=0813500000124005105" TargetMode="External"/><Relationship Id="rId19" Type="http://schemas.openxmlformats.org/officeDocument/2006/relationships/hyperlink" Target="https://zakupki.gov.ru/epz/order/notice/ea20/view/common-info.html?regNumber=0813500000124005188" TargetMode="External"/><Relationship Id="rId20" Type="http://schemas.openxmlformats.org/officeDocument/2006/relationships/hyperlink" Target="https://zakupki.gov.ru/epz/order/notice/ea20/view/common-info.html?regNumber=0813500000124005278" TargetMode="External"/><Relationship Id="rId21" Type="http://schemas.openxmlformats.org/officeDocument/2006/relationships/hyperlink" Target="https://zakupki.gov.ru/epz/order/notice/ea20/view/common-info.html?regNumber=081350000012400505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Минторг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ТОРГОВЛИ</dc:title>
  <dc:creator>torba</dc:creator>
  <cp:revision>57</cp:revision>
  <dcterms:created xsi:type="dcterms:W3CDTF">2024-04-01T08:04:00Z</dcterms:created>
  <dcterms:modified xsi:type="dcterms:W3CDTF">2024-05-02T07:35:03Z</dcterms:modified>
  <cp:version>983040</cp:version>
</cp:coreProperties>
</file>